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33" w:rsidRDefault="00F77003" w:rsidP="00201688">
      <w:pPr>
        <w:jc w:val="center"/>
        <w:rPr>
          <w:b/>
        </w:rPr>
      </w:pPr>
      <w:r w:rsidRPr="00201688">
        <w:rPr>
          <w:b/>
        </w:rPr>
        <w:t>Programma</w:t>
      </w:r>
    </w:p>
    <w:p w:rsidR="00201688" w:rsidRDefault="00201688" w:rsidP="00201688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L’organizzazione della protezione dei dati personali: previsioni ed applicazione GDPR</w:t>
      </w:r>
    </w:p>
    <w:p w:rsidR="00201688" w:rsidRDefault="003424EB" w:rsidP="00201688">
      <w:pPr>
        <w:ind w:left="360"/>
        <w:jc w:val="both"/>
      </w:pPr>
      <w:r>
        <w:t>Il GDPR. Genesi e principi informatori</w:t>
      </w:r>
    </w:p>
    <w:p w:rsidR="003424EB" w:rsidRDefault="003424EB" w:rsidP="00201688">
      <w:pPr>
        <w:ind w:left="360"/>
        <w:jc w:val="both"/>
      </w:pPr>
      <w:r>
        <w:t>Il dato personale</w:t>
      </w:r>
    </w:p>
    <w:p w:rsidR="003424EB" w:rsidRDefault="003424EB" w:rsidP="00201688">
      <w:pPr>
        <w:ind w:left="360"/>
        <w:jc w:val="both"/>
      </w:pPr>
      <w:r>
        <w:t>Raccolta e trattamento</w:t>
      </w:r>
    </w:p>
    <w:p w:rsidR="003424EB" w:rsidRDefault="003424EB" w:rsidP="00201688">
      <w:pPr>
        <w:ind w:left="360"/>
        <w:jc w:val="both"/>
      </w:pPr>
      <w:r>
        <w:t>Analisi dei rischi afferenti al trattamento dei dati personali</w:t>
      </w:r>
    </w:p>
    <w:p w:rsidR="003424EB" w:rsidRDefault="003424EB" w:rsidP="00201688">
      <w:pPr>
        <w:ind w:left="360"/>
        <w:jc w:val="both"/>
      </w:pPr>
      <w:r>
        <w:t xml:space="preserve">Da un insieme di adempimenti all’assunzione di consapevolezza e di responsabilità. Il principio di </w:t>
      </w:r>
      <w:proofErr w:type="spellStart"/>
      <w:r>
        <w:t>accountability</w:t>
      </w:r>
      <w:proofErr w:type="spellEnd"/>
    </w:p>
    <w:p w:rsidR="003424EB" w:rsidRDefault="003424EB" w:rsidP="00201688">
      <w:pPr>
        <w:ind w:left="360"/>
        <w:jc w:val="both"/>
      </w:pPr>
      <w:r>
        <w:t xml:space="preserve">Privacy </w:t>
      </w:r>
      <w:proofErr w:type="spellStart"/>
      <w:r>
        <w:t>by</w:t>
      </w:r>
      <w:proofErr w:type="spellEnd"/>
      <w:r>
        <w:t xml:space="preserve"> design e privacy </w:t>
      </w:r>
      <w:proofErr w:type="spellStart"/>
      <w:r>
        <w:t>by</w:t>
      </w:r>
      <w:proofErr w:type="spellEnd"/>
      <w:r>
        <w:t xml:space="preserve"> default</w:t>
      </w:r>
    </w:p>
    <w:p w:rsidR="003424EB" w:rsidRDefault="003424EB" w:rsidP="00201688">
      <w:pPr>
        <w:ind w:left="360"/>
        <w:jc w:val="both"/>
      </w:pPr>
      <w:r>
        <w:t>Misure di sicurezza</w:t>
      </w:r>
    </w:p>
    <w:p w:rsidR="003424EB" w:rsidRDefault="003424EB" w:rsidP="00201688">
      <w:pPr>
        <w:ind w:left="360"/>
        <w:jc w:val="both"/>
      </w:pPr>
      <w:r>
        <w:t xml:space="preserve">Data </w:t>
      </w:r>
      <w:proofErr w:type="spellStart"/>
      <w:r>
        <w:t>breach</w:t>
      </w:r>
      <w:proofErr w:type="spellEnd"/>
      <w:r>
        <w:t xml:space="preserve"> e sanzioni</w:t>
      </w:r>
    </w:p>
    <w:p w:rsidR="003424EB" w:rsidRDefault="003424EB" w:rsidP="00201688">
      <w:pPr>
        <w:ind w:left="360"/>
        <w:jc w:val="both"/>
      </w:pPr>
      <w:r>
        <w:t>La distribuzione delle competenze</w:t>
      </w:r>
    </w:p>
    <w:p w:rsidR="003424EB" w:rsidRDefault="003424EB" w:rsidP="00201688">
      <w:pPr>
        <w:ind w:left="360"/>
        <w:jc w:val="both"/>
      </w:pPr>
      <w:r>
        <w:t>Titolare, responsabile ed addetto al trattamento dei dati</w:t>
      </w:r>
    </w:p>
    <w:p w:rsidR="003424EB" w:rsidRDefault="003424EB" w:rsidP="00201688">
      <w:pPr>
        <w:ind w:left="360"/>
        <w:jc w:val="both"/>
      </w:pPr>
      <w:r>
        <w:t>Registro delle operazioni di trattamento</w:t>
      </w:r>
    </w:p>
    <w:p w:rsidR="003424EB" w:rsidRDefault="003424EB" w:rsidP="00201688">
      <w:pPr>
        <w:ind w:left="360"/>
        <w:jc w:val="both"/>
      </w:pPr>
      <w:r>
        <w:t>Responsabile della protezione dei dati</w:t>
      </w:r>
    </w:p>
    <w:p w:rsidR="003424EB" w:rsidRDefault="003424EB" w:rsidP="00201688">
      <w:pPr>
        <w:ind w:left="360"/>
        <w:jc w:val="both"/>
      </w:pPr>
      <w:r>
        <w:t>Diritto all’oblio</w:t>
      </w:r>
    </w:p>
    <w:p w:rsidR="003424EB" w:rsidRDefault="003424EB" w:rsidP="00201688">
      <w:pPr>
        <w:ind w:left="360"/>
        <w:jc w:val="both"/>
      </w:pPr>
      <w:r>
        <w:t>Trasferimento all’estero dei dati</w:t>
      </w:r>
    </w:p>
    <w:p w:rsidR="003424EB" w:rsidRDefault="003424EB" w:rsidP="00201688">
      <w:pPr>
        <w:ind w:left="360"/>
        <w:jc w:val="both"/>
      </w:pPr>
      <w:r>
        <w:t>L’</w:t>
      </w:r>
      <w:proofErr w:type="spellStart"/>
      <w:r>
        <w:t>audit</w:t>
      </w:r>
      <w:proofErr w:type="spellEnd"/>
      <w:r>
        <w:t>. Codici di condotta ed autocertificazioni</w:t>
      </w:r>
    </w:p>
    <w:p w:rsidR="003424EB" w:rsidRDefault="003424EB" w:rsidP="00201688">
      <w:pPr>
        <w:ind w:left="360"/>
        <w:jc w:val="both"/>
      </w:pPr>
    </w:p>
    <w:p w:rsidR="003424EB" w:rsidRPr="003424EB" w:rsidRDefault="003424EB" w:rsidP="003424EB">
      <w:pPr>
        <w:pStyle w:val="Paragrafoelenco"/>
        <w:numPr>
          <w:ilvl w:val="0"/>
          <w:numId w:val="1"/>
        </w:numPr>
        <w:jc w:val="both"/>
        <w:rPr>
          <w:b/>
        </w:rPr>
      </w:pPr>
      <w:r w:rsidRPr="003424EB">
        <w:rPr>
          <w:b/>
        </w:rPr>
        <w:t>Scenari criminali nello spazio digitale: analisi dell’approccio alla cyber security</w:t>
      </w:r>
    </w:p>
    <w:p w:rsidR="003424EB" w:rsidRDefault="003424EB" w:rsidP="003424EB">
      <w:pPr>
        <w:ind w:left="360"/>
        <w:jc w:val="both"/>
      </w:pPr>
      <w:r>
        <w:t>Cultura della sicurezza e spazio digitale</w:t>
      </w:r>
    </w:p>
    <w:p w:rsidR="003424EB" w:rsidRDefault="003424EB" w:rsidP="003424EB">
      <w:pPr>
        <w:ind w:left="360"/>
        <w:jc w:val="both"/>
      </w:pPr>
      <w:r>
        <w:t>Cyber crime e cyber security: scenari attuali e futuri</w:t>
      </w:r>
    </w:p>
    <w:p w:rsidR="003424EB" w:rsidRDefault="003424EB" w:rsidP="003424EB">
      <w:pPr>
        <w:ind w:left="360"/>
        <w:jc w:val="both"/>
      </w:pPr>
      <w:r>
        <w:t>Attività criminali nello spazio digitale. Evoluzione, portata ed entità dei fenomeni</w:t>
      </w:r>
    </w:p>
    <w:p w:rsidR="003424EB" w:rsidRDefault="003424EB" w:rsidP="003424EB">
      <w:pPr>
        <w:ind w:left="360"/>
        <w:jc w:val="both"/>
      </w:pPr>
      <w:r>
        <w:t>Architettura dei sistemi di approccio, prevenzione, protezione generale e contrasto</w:t>
      </w:r>
    </w:p>
    <w:p w:rsidR="003424EB" w:rsidRDefault="003424EB" w:rsidP="003424EB">
      <w:pPr>
        <w:ind w:left="360"/>
        <w:jc w:val="both"/>
      </w:pPr>
      <w:r>
        <w:t>Cenni sulla formazione e sull’adeguamento del corpo normativo nazionale e sovranazionale</w:t>
      </w:r>
    </w:p>
    <w:p w:rsidR="003424EB" w:rsidRDefault="003424EB" w:rsidP="003424EB">
      <w:pPr>
        <w:ind w:left="360"/>
        <w:jc w:val="both"/>
      </w:pPr>
      <w:r>
        <w:t>I reati informatici nel codice penale</w:t>
      </w:r>
    </w:p>
    <w:p w:rsidR="003424EB" w:rsidRDefault="003424EB" w:rsidP="003424EB">
      <w:pPr>
        <w:ind w:left="360"/>
        <w:jc w:val="both"/>
      </w:pPr>
      <w:r>
        <w:t>Mondo economico e privati di fronte al rischio digitale</w:t>
      </w:r>
    </w:p>
    <w:p w:rsidR="003424EB" w:rsidRDefault="003424EB" w:rsidP="003424EB">
      <w:pPr>
        <w:ind w:left="360"/>
        <w:jc w:val="both"/>
      </w:pPr>
      <w:r>
        <w:t xml:space="preserve">Linee guida e best </w:t>
      </w:r>
      <w:proofErr w:type="spellStart"/>
      <w:r>
        <w:t>practices</w:t>
      </w:r>
      <w:proofErr w:type="spellEnd"/>
      <w:r>
        <w:t xml:space="preserve"> per la protezione nello spazio digitale</w:t>
      </w:r>
    </w:p>
    <w:p w:rsidR="003424EB" w:rsidRPr="003424EB" w:rsidRDefault="003424EB" w:rsidP="003424EB">
      <w:pPr>
        <w:ind w:left="360"/>
        <w:jc w:val="both"/>
      </w:pPr>
      <w:r>
        <w:lastRenderedPageBreak/>
        <w:t xml:space="preserve">Cases </w:t>
      </w:r>
      <w:proofErr w:type="spellStart"/>
      <w:r>
        <w:t>history</w:t>
      </w:r>
      <w:proofErr w:type="spellEnd"/>
      <w:r>
        <w:t xml:space="preserve"> di maggior impatto</w:t>
      </w:r>
    </w:p>
    <w:sectPr w:rsidR="003424EB" w:rsidRPr="003424EB" w:rsidSect="00423D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1BC3"/>
    <w:multiLevelType w:val="hybridMultilevel"/>
    <w:tmpl w:val="5EC876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7003"/>
    <w:rsid w:val="00201688"/>
    <w:rsid w:val="003424EB"/>
    <w:rsid w:val="00423D33"/>
    <w:rsid w:val="00F7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D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1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UfficioStampa</dc:creator>
  <cp:lastModifiedBy>UfficioStampa</cp:lastModifiedBy>
  <cp:revision>3</cp:revision>
  <dcterms:created xsi:type="dcterms:W3CDTF">2018-05-15T13:29:00Z</dcterms:created>
  <dcterms:modified xsi:type="dcterms:W3CDTF">2018-05-15T13:39:00Z</dcterms:modified>
</cp:coreProperties>
</file>